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C" w:rsidRPr="008849B0" w:rsidRDefault="00CC75CC" w:rsidP="00EA53C5">
      <w:pPr>
        <w:pStyle w:val="Heading6"/>
        <w:widowControl/>
        <w:tabs>
          <w:tab w:val="clear" w:pos="4680"/>
        </w:tabs>
        <w:suppressAutoHyphens w:val="0"/>
        <w:jc w:val="both"/>
        <w:rPr>
          <w:rFonts w:ascii="Times New Roman" w:hAnsi="Times New Roman"/>
          <w:bCs/>
          <w:spacing w:val="0"/>
          <w:sz w:val="28"/>
          <w:szCs w:val="28"/>
          <w:u w:val="single"/>
        </w:rPr>
      </w:pPr>
      <w:r w:rsidRPr="008849B0">
        <w:rPr>
          <w:rFonts w:ascii="Times New Roman" w:hAnsi="Times New Roman"/>
          <w:bCs/>
          <w:spacing w:val="0"/>
          <w:sz w:val="28"/>
          <w:szCs w:val="28"/>
          <w:u w:val="single"/>
        </w:rPr>
        <w:t>Note to Building owners:</w:t>
      </w:r>
    </w:p>
    <w:p w:rsidR="00CC75CC" w:rsidRPr="008849B0" w:rsidRDefault="00CC75CC" w:rsidP="00EA53C5">
      <w:pPr>
        <w:jc w:val="both"/>
      </w:pPr>
    </w:p>
    <w:p w:rsidR="007C3B3A" w:rsidRDefault="007C3B3A" w:rsidP="00EA53C5">
      <w:pPr>
        <w:pStyle w:val="Heading6"/>
        <w:widowControl/>
        <w:tabs>
          <w:tab w:val="clear" w:pos="4680"/>
        </w:tabs>
        <w:suppressAutoHyphens w:val="0"/>
        <w:jc w:val="both"/>
        <w:rPr>
          <w:rFonts w:ascii="Times New Roman" w:hAnsi="Times New Roman"/>
          <w:b w:val="0"/>
          <w:bCs/>
          <w:spacing w:val="0"/>
          <w:szCs w:val="28"/>
        </w:rPr>
      </w:pPr>
      <w:r w:rsidRPr="008849B0">
        <w:rPr>
          <w:rFonts w:ascii="Times New Roman" w:hAnsi="Times New Roman"/>
          <w:b w:val="0"/>
          <w:bCs/>
          <w:spacing w:val="0"/>
          <w:szCs w:val="28"/>
        </w:rPr>
        <w:t>The</w:t>
      </w:r>
      <w:r w:rsidR="00BF5A7C" w:rsidRPr="008849B0">
        <w:rPr>
          <w:rFonts w:ascii="Times New Roman" w:hAnsi="Times New Roman"/>
          <w:b w:val="0"/>
          <w:bCs/>
          <w:spacing w:val="0"/>
          <w:szCs w:val="28"/>
        </w:rPr>
        <w:t xml:space="preserve"> Guaranteed Energy Savings Performance </w:t>
      </w:r>
      <w:r w:rsidR="00472AE5" w:rsidRPr="008849B0">
        <w:rPr>
          <w:rFonts w:ascii="Times New Roman" w:hAnsi="Times New Roman"/>
          <w:b w:val="0"/>
          <w:bCs/>
          <w:spacing w:val="0"/>
          <w:szCs w:val="28"/>
        </w:rPr>
        <w:t xml:space="preserve">(GESP) </w:t>
      </w:r>
      <w:r w:rsidR="00BF5A7C" w:rsidRPr="008849B0">
        <w:rPr>
          <w:rFonts w:ascii="Times New Roman" w:hAnsi="Times New Roman"/>
          <w:b w:val="0"/>
          <w:bCs/>
          <w:spacing w:val="0"/>
          <w:szCs w:val="28"/>
        </w:rPr>
        <w:t xml:space="preserve">Contracting Services </w:t>
      </w:r>
      <w:r w:rsidR="00472AE5" w:rsidRPr="008849B0">
        <w:rPr>
          <w:rFonts w:ascii="Times New Roman" w:hAnsi="Times New Roman"/>
          <w:b w:val="0"/>
          <w:bCs/>
          <w:spacing w:val="0"/>
          <w:szCs w:val="28"/>
        </w:rPr>
        <w:t xml:space="preserve">tender document 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 xml:space="preserve">has been </w:t>
      </w:r>
      <w:r w:rsidR="00472AE5" w:rsidRPr="008849B0">
        <w:rPr>
          <w:rFonts w:ascii="Times New Roman" w:hAnsi="Times New Roman"/>
          <w:b w:val="0"/>
          <w:bCs/>
          <w:spacing w:val="0"/>
          <w:szCs w:val="28"/>
        </w:rPr>
        <w:t xml:space="preserve">adopted by public 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>agencies in their building retrofits</w:t>
      </w:r>
      <w:r w:rsidR="00472AE5" w:rsidRPr="008849B0">
        <w:rPr>
          <w:rFonts w:ascii="Times New Roman" w:hAnsi="Times New Roman"/>
          <w:b w:val="0"/>
          <w:bCs/>
          <w:spacing w:val="0"/>
          <w:szCs w:val="28"/>
        </w:rPr>
        <w:t xml:space="preserve">. 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>Sections of the tender document are</w:t>
      </w:r>
      <w:r w:rsidR="00472AE5" w:rsidRPr="008849B0">
        <w:rPr>
          <w:rFonts w:ascii="Times New Roman" w:hAnsi="Times New Roman"/>
          <w:b w:val="0"/>
          <w:bCs/>
          <w:spacing w:val="0"/>
          <w:szCs w:val="28"/>
        </w:rPr>
        <w:t xml:space="preserve"> provided in this website to serve as reference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>s</w:t>
      </w:r>
      <w:r w:rsidR="00472AE5" w:rsidRPr="008849B0">
        <w:rPr>
          <w:rFonts w:ascii="Times New Roman" w:hAnsi="Times New Roman"/>
          <w:b w:val="0"/>
          <w:bCs/>
          <w:spacing w:val="0"/>
          <w:szCs w:val="28"/>
        </w:rPr>
        <w:t xml:space="preserve"> and for the adaptation by private sector building owners in the retrofits of their buildings to a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 xml:space="preserve">chieve higher energy </w:t>
      </w:r>
      <w:r w:rsidR="008849B0" w:rsidRPr="008849B0">
        <w:rPr>
          <w:rFonts w:ascii="Times New Roman" w:hAnsi="Times New Roman"/>
          <w:b w:val="0"/>
          <w:bCs/>
          <w:spacing w:val="0"/>
          <w:szCs w:val="28"/>
        </w:rPr>
        <w:t>efficiency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>. Building owners can include these sections into the</w:t>
      </w:r>
      <w:r w:rsidR="008849B0">
        <w:rPr>
          <w:rFonts w:ascii="Times New Roman" w:hAnsi="Times New Roman"/>
          <w:b w:val="0"/>
          <w:bCs/>
          <w:spacing w:val="0"/>
          <w:szCs w:val="28"/>
        </w:rPr>
        <w:t>ir</w:t>
      </w:r>
      <w:r w:rsidRPr="008849B0">
        <w:rPr>
          <w:rFonts w:ascii="Times New Roman" w:hAnsi="Times New Roman"/>
          <w:b w:val="0"/>
          <w:bCs/>
          <w:spacing w:val="0"/>
          <w:szCs w:val="28"/>
        </w:rPr>
        <w:t xml:space="preserve"> standard procurement documents.</w:t>
      </w:r>
    </w:p>
    <w:p w:rsidR="008849B0" w:rsidRPr="008849B0" w:rsidRDefault="008849B0" w:rsidP="00EA53C5">
      <w:pPr>
        <w:jc w:val="both"/>
      </w:pPr>
    </w:p>
    <w:p w:rsidR="007C3B3A" w:rsidRPr="008849B0" w:rsidRDefault="007C3B3A" w:rsidP="00EA53C5">
      <w:pPr>
        <w:pStyle w:val="Heading6"/>
        <w:widowControl/>
        <w:numPr>
          <w:ilvl w:val="0"/>
          <w:numId w:val="1"/>
        </w:numPr>
        <w:tabs>
          <w:tab w:val="clear" w:pos="4680"/>
        </w:tabs>
        <w:suppressAutoHyphens w:val="0"/>
        <w:jc w:val="both"/>
        <w:rPr>
          <w:rFonts w:ascii="Times New Roman" w:hAnsi="Times New Roman"/>
          <w:bCs/>
          <w:spacing w:val="0"/>
          <w:szCs w:val="28"/>
        </w:rPr>
      </w:pPr>
      <w:r w:rsidRPr="008849B0">
        <w:rPr>
          <w:rFonts w:ascii="Times New Roman" w:hAnsi="Times New Roman"/>
          <w:bCs/>
          <w:spacing w:val="0"/>
          <w:szCs w:val="28"/>
        </w:rPr>
        <w:t>Consultancy Agreement</w:t>
      </w:r>
    </w:p>
    <w:p w:rsidR="008849B0" w:rsidRDefault="007C3B3A" w:rsidP="00EA53C5">
      <w:pPr>
        <w:pStyle w:val="Heading6"/>
        <w:widowControl/>
        <w:tabs>
          <w:tab w:val="clear" w:pos="4680"/>
        </w:tabs>
        <w:suppressAutoHyphens w:val="0"/>
        <w:ind w:left="720"/>
        <w:jc w:val="both"/>
        <w:rPr>
          <w:rFonts w:ascii="Times New Roman" w:hAnsi="Times New Roman"/>
          <w:b w:val="0"/>
          <w:bCs/>
          <w:spacing w:val="0"/>
          <w:szCs w:val="28"/>
        </w:rPr>
      </w:pPr>
      <w:r w:rsidRPr="008849B0">
        <w:rPr>
          <w:rFonts w:ascii="Times New Roman" w:hAnsi="Times New Roman"/>
          <w:b w:val="0"/>
          <w:bCs/>
          <w:spacing w:val="0"/>
          <w:szCs w:val="28"/>
        </w:rPr>
        <w:t>This document defines the conditions of the investment grade energy audit and the development of the GESP contract which the ESCO shall undertake.</w:t>
      </w:r>
    </w:p>
    <w:p w:rsidR="008849B0" w:rsidRPr="008849B0" w:rsidRDefault="008849B0" w:rsidP="00EA53C5">
      <w:pPr>
        <w:jc w:val="both"/>
      </w:pPr>
    </w:p>
    <w:p w:rsidR="007C3B3A" w:rsidRPr="008849B0" w:rsidRDefault="007C3B3A" w:rsidP="00EA53C5">
      <w:pPr>
        <w:pStyle w:val="ListParagraph"/>
        <w:numPr>
          <w:ilvl w:val="0"/>
          <w:numId w:val="2"/>
        </w:numPr>
        <w:jc w:val="both"/>
        <w:rPr>
          <w:b/>
        </w:rPr>
      </w:pPr>
      <w:r w:rsidRPr="008849B0">
        <w:rPr>
          <w:b/>
        </w:rPr>
        <w:t>Scope of Work</w:t>
      </w:r>
    </w:p>
    <w:p w:rsidR="007C3B3A" w:rsidRPr="008849B0" w:rsidRDefault="007C3B3A" w:rsidP="00EA53C5">
      <w:pPr>
        <w:ind w:left="720"/>
        <w:jc w:val="both"/>
      </w:pPr>
      <w:r w:rsidRPr="008849B0">
        <w:t>This document defines the scope of work undertaken during the Consultancy Agreement:</w:t>
      </w:r>
    </w:p>
    <w:p w:rsidR="007C3B3A" w:rsidRPr="008849B0" w:rsidRDefault="007C3B3A" w:rsidP="00EA53C5">
      <w:pPr>
        <w:pStyle w:val="ListParagraph"/>
        <w:numPr>
          <w:ilvl w:val="2"/>
          <w:numId w:val="2"/>
        </w:numPr>
        <w:jc w:val="both"/>
        <w:rPr>
          <w:b/>
        </w:rPr>
      </w:pPr>
      <w:r w:rsidRPr="008849B0">
        <w:rPr>
          <w:b/>
        </w:rPr>
        <w:t xml:space="preserve">Phase 1: </w:t>
      </w:r>
      <w:r w:rsidR="008849B0" w:rsidRPr="008849B0">
        <w:rPr>
          <w:b/>
          <w:bCs/>
          <w:szCs w:val="28"/>
        </w:rPr>
        <w:t>I</w:t>
      </w:r>
      <w:r w:rsidRPr="008849B0">
        <w:rPr>
          <w:b/>
          <w:bCs/>
          <w:szCs w:val="28"/>
        </w:rPr>
        <w:t>nvestment grade energy audit</w:t>
      </w:r>
    </w:p>
    <w:p w:rsidR="007C3B3A" w:rsidRPr="008849B0" w:rsidRDefault="007C3B3A" w:rsidP="00EA53C5">
      <w:pPr>
        <w:pStyle w:val="ListParagraph"/>
        <w:numPr>
          <w:ilvl w:val="2"/>
          <w:numId w:val="2"/>
        </w:numPr>
        <w:jc w:val="both"/>
        <w:rPr>
          <w:b/>
        </w:rPr>
      </w:pPr>
      <w:r w:rsidRPr="008849B0">
        <w:rPr>
          <w:b/>
          <w:bCs/>
          <w:szCs w:val="28"/>
        </w:rPr>
        <w:t>Phase 2: Development of the GESP contract</w:t>
      </w:r>
    </w:p>
    <w:p w:rsidR="008849B0" w:rsidRDefault="008849B0" w:rsidP="00EA53C5">
      <w:pPr>
        <w:ind w:left="2160"/>
        <w:jc w:val="both"/>
        <w:rPr>
          <w:bCs/>
          <w:szCs w:val="28"/>
        </w:rPr>
      </w:pPr>
      <w:r w:rsidRPr="008849B0">
        <w:rPr>
          <w:bCs/>
          <w:szCs w:val="28"/>
        </w:rPr>
        <w:t>The ESCO shall complete all sch</w:t>
      </w:r>
      <w:r w:rsidR="00EA53C5">
        <w:rPr>
          <w:bCs/>
          <w:szCs w:val="28"/>
        </w:rPr>
        <w:t xml:space="preserve">edules, exhibits and appendices </w:t>
      </w:r>
      <w:r w:rsidRPr="008849B0">
        <w:rPr>
          <w:bCs/>
          <w:szCs w:val="28"/>
        </w:rPr>
        <w:t xml:space="preserve">as specified in the document: </w:t>
      </w:r>
      <w:r w:rsidRPr="000C23A2">
        <w:rPr>
          <w:b/>
          <w:bCs/>
          <w:i/>
          <w:szCs w:val="28"/>
        </w:rPr>
        <w:t>Conditions of GESP Contract</w:t>
      </w:r>
      <w:r w:rsidR="00EA53C5">
        <w:rPr>
          <w:bCs/>
          <w:szCs w:val="28"/>
        </w:rPr>
        <w:t xml:space="preserve"> with the aid of the building owners. Schedule P is included in this website.</w:t>
      </w:r>
    </w:p>
    <w:p w:rsidR="008849B0" w:rsidRPr="008849B0" w:rsidRDefault="008849B0" w:rsidP="00EA53C5">
      <w:pPr>
        <w:ind w:left="2160"/>
        <w:jc w:val="both"/>
      </w:pPr>
    </w:p>
    <w:p w:rsidR="007C3B3A" w:rsidRPr="008849B0" w:rsidRDefault="007C3B3A" w:rsidP="00EA53C5">
      <w:pPr>
        <w:pStyle w:val="ListParagraph"/>
        <w:numPr>
          <w:ilvl w:val="0"/>
          <w:numId w:val="2"/>
        </w:numPr>
        <w:jc w:val="both"/>
        <w:rPr>
          <w:b/>
        </w:rPr>
      </w:pPr>
      <w:r w:rsidRPr="008849B0">
        <w:rPr>
          <w:b/>
          <w:bCs/>
          <w:szCs w:val="28"/>
        </w:rPr>
        <w:t xml:space="preserve">Conditions of GESP </w:t>
      </w:r>
      <w:r w:rsidR="008849B0" w:rsidRPr="008849B0">
        <w:rPr>
          <w:b/>
          <w:bCs/>
          <w:szCs w:val="28"/>
        </w:rPr>
        <w:t>Contract</w:t>
      </w:r>
    </w:p>
    <w:p w:rsidR="00BF5A7C" w:rsidRDefault="008849B0" w:rsidP="00EA53C5">
      <w:pPr>
        <w:pStyle w:val="ListParagraph"/>
        <w:jc w:val="both"/>
        <w:rPr>
          <w:bCs/>
          <w:iCs/>
          <w:sz w:val="22"/>
        </w:rPr>
      </w:pPr>
      <w:r w:rsidRPr="008849B0">
        <w:rPr>
          <w:bCs/>
          <w:szCs w:val="28"/>
        </w:rPr>
        <w:t xml:space="preserve">This document defines the conditions of the GESP contract. Building owners </w:t>
      </w:r>
      <w:r w:rsidRPr="008849B0">
        <w:rPr>
          <w:bCs/>
          <w:iCs/>
          <w:sz w:val="22"/>
        </w:rPr>
        <w:t>may vary the terms and conditions according to its specific requirements</w:t>
      </w:r>
    </w:p>
    <w:p w:rsidR="008849B0" w:rsidRPr="008849B0" w:rsidRDefault="008849B0" w:rsidP="00EA53C5">
      <w:pPr>
        <w:jc w:val="both"/>
      </w:pPr>
    </w:p>
    <w:p w:rsidR="008849B0" w:rsidRPr="008849B0" w:rsidRDefault="008849B0" w:rsidP="00EA53C5">
      <w:pPr>
        <w:pStyle w:val="ListParagraph"/>
        <w:numPr>
          <w:ilvl w:val="0"/>
          <w:numId w:val="2"/>
        </w:numPr>
        <w:jc w:val="both"/>
        <w:rPr>
          <w:b/>
        </w:rPr>
      </w:pPr>
      <w:r w:rsidRPr="008849B0">
        <w:rPr>
          <w:b/>
          <w:bCs/>
          <w:szCs w:val="28"/>
        </w:rPr>
        <w:t>Schedule P:</w:t>
      </w:r>
      <w:r w:rsidR="000C23A2">
        <w:rPr>
          <w:b/>
          <w:bCs/>
          <w:szCs w:val="28"/>
        </w:rPr>
        <w:t xml:space="preserve"> </w:t>
      </w:r>
      <w:r w:rsidRPr="008849B0">
        <w:rPr>
          <w:b/>
          <w:bCs/>
          <w:szCs w:val="28"/>
        </w:rPr>
        <w:t>Specifications of the measurement and verification of central chilled water plant</w:t>
      </w:r>
    </w:p>
    <w:p w:rsidR="008849B0" w:rsidRPr="008849B0" w:rsidRDefault="008849B0" w:rsidP="00EA53C5">
      <w:pPr>
        <w:ind w:left="720"/>
        <w:jc w:val="both"/>
      </w:pPr>
      <w:r w:rsidRPr="008849B0">
        <w:rPr>
          <w:bCs/>
          <w:szCs w:val="28"/>
        </w:rPr>
        <w:t xml:space="preserve">This document </w:t>
      </w:r>
      <w:r w:rsidRPr="008849B0">
        <w:rPr>
          <w:szCs w:val="24"/>
        </w:rPr>
        <w:t>specifies the minimum requirements</w:t>
      </w:r>
      <w:r w:rsidR="000C23A2">
        <w:rPr>
          <w:szCs w:val="24"/>
        </w:rPr>
        <w:t xml:space="preserve">, </w:t>
      </w:r>
      <w:r w:rsidR="000C23A2" w:rsidRPr="008849B0">
        <w:rPr>
          <w:szCs w:val="24"/>
        </w:rPr>
        <w:t>accuracy levels and installation details</w:t>
      </w:r>
      <w:r w:rsidRPr="008849B0">
        <w:rPr>
          <w:szCs w:val="24"/>
        </w:rPr>
        <w:t xml:space="preserve"> for sensors and instruments in capturing relevant process paramet</w:t>
      </w:r>
      <w:r w:rsidR="000C23A2">
        <w:rPr>
          <w:szCs w:val="24"/>
        </w:rPr>
        <w:t>ers of the chilled water plants.</w:t>
      </w:r>
    </w:p>
    <w:p w:rsidR="003C143F" w:rsidRDefault="003C143F"/>
    <w:sectPr w:rsidR="003C143F" w:rsidSect="003C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739"/>
    <w:multiLevelType w:val="hybridMultilevel"/>
    <w:tmpl w:val="7E90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393"/>
    <w:multiLevelType w:val="hybridMultilevel"/>
    <w:tmpl w:val="E00C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F5A7C"/>
    <w:rsid w:val="000C23A2"/>
    <w:rsid w:val="001E1563"/>
    <w:rsid w:val="003C143F"/>
    <w:rsid w:val="00472AE5"/>
    <w:rsid w:val="007C3B3A"/>
    <w:rsid w:val="0082135C"/>
    <w:rsid w:val="008849B0"/>
    <w:rsid w:val="00BF5A7C"/>
    <w:rsid w:val="00C12E39"/>
    <w:rsid w:val="00CC75CC"/>
    <w:rsid w:val="00D637BC"/>
    <w:rsid w:val="00E775B8"/>
    <w:rsid w:val="00EA53C5"/>
    <w:rsid w:val="00F0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BF5A7C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F5A7C"/>
    <w:rPr>
      <w:rFonts w:ascii="Arial" w:eastAsia="Times New Roman" w:hAnsi="Arial" w:cs="Times New Roman"/>
      <w:b/>
      <w:spacing w:val="-3"/>
      <w:sz w:val="24"/>
      <w:szCs w:val="20"/>
      <w:lang w:val="en-US"/>
    </w:rPr>
  </w:style>
  <w:style w:type="paragraph" w:styleId="Header">
    <w:name w:val="header"/>
    <w:basedOn w:val="Normal"/>
    <w:link w:val="HeaderChar"/>
    <w:rsid w:val="00BF5A7C"/>
    <w:pPr>
      <w:widowControl w:val="0"/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BF5A7C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escobody">
    <w:name w:val="escobody"/>
    <w:rsid w:val="00BF5A7C"/>
    <w:pPr>
      <w:spacing w:after="0" w:line="320" w:lineRule="exact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Style4">
    <w:name w:val="Style4"/>
    <w:rsid w:val="00BF5A7C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Goh</dc:creator>
  <cp:lastModifiedBy>Lydia Goh</cp:lastModifiedBy>
  <cp:revision>2</cp:revision>
  <dcterms:created xsi:type="dcterms:W3CDTF">2012-04-10T03:40:00Z</dcterms:created>
  <dcterms:modified xsi:type="dcterms:W3CDTF">2012-04-10T03:40:00Z</dcterms:modified>
</cp:coreProperties>
</file>